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9E584" w14:textId="77777777" w:rsidR="00D06A8D" w:rsidRPr="00D06A8D" w:rsidRDefault="00D06A8D" w:rsidP="00D06A8D">
      <w:pPr>
        <w:pStyle w:val="Kategorie"/>
        <w:spacing w:before="0"/>
        <w:rPr>
          <w:rFonts w:cs="Arial"/>
        </w:rPr>
      </w:pPr>
      <w:bookmarkStart w:id="0" w:name="_GoBack"/>
      <w:bookmarkEnd w:id="0"/>
      <w:r>
        <w:t>Tarefas</w:t>
      </w:r>
    </w:p>
    <w:p w14:paraId="5EC6DC02" w14:textId="77777777" w:rsidR="00D06A8D" w:rsidRPr="00D06A8D" w:rsidRDefault="00D06A8D" w:rsidP="00D06A8D">
      <w:pPr>
        <w:pStyle w:val="berschrift1"/>
        <w:rPr>
          <w:rFonts w:cs="Arial"/>
        </w:rPr>
      </w:pPr>
      <w:r>
        <w:t>Barreira eletropneumática com cilindro de ação única</w:t>
      </w:r>
    </w:p>
    <w:p w14:paraId="0DF31784" w14:textId="77777777" w:rsidR="00D06A8D" w:rsidRPr="00D06A8D" w:rsidRDefault="00D06A8D" w:rsidP="00D06A8D">
      <w:pPr>
        <w:pStyle w:val="berschrift2"/>
        <w:rPr>
          <w:rFonts w:cs="Arial"/>
        </w:rPr>
      </w:pPr>
      <w:r>
        <w:t>Tarefa de construção</w:t>
      </w:r>
    </w:p>
    <w:p w14:paraId="41D9CDD0" w14:textId="4A5FC27D" w:rsidR="00D06A8D" w:rsidRPr="00D06A8D" w:rsidRDefault="00D06A8D" w:rsidP="00D06A8D">
      <w:pPr>
        <w:rPr>
          <w:rFonts w:ascii="Arial" w:hAnsi="Arial" w:cs="Arial"/>
        </w:rPr>
      </w:pPr>
      <w:r>
        <w:rPr>
          <w:rFonts w:ascii="Arial" w:hAnsi="Arial"/>
        </w:rPr>
        <w:t>Construa a barreira de acordo com as instruções. Usar como cilindro o cilindro de "ação única" (com pistão vermelho e mola de retorno incorporada). Ao construir, preste atenção aos seguintes pontos:</w:t>
      </w:r>
    </w:p>
    <w:p w14:paraId="5BB97A81" w14:textId="77777777" w:rsidR="00D06A8D" w:rsidRPr="00D06A8D" w:rsidRDefault="00D06A8D" w:rsidP="00D06A8D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A barreira deve funcionar sem entraves. Não construa os rolamentos dos eixos que carregam o eixo rotativo da barreira muito apertado (firmememente apertado), mas deixe espaço suficiente para que a barreira possa se mover com facilidade. O eixo deve "fluir" – os três blocos de suporte através dos quais passa devem estar bem posicionados em uma linha.</w:t>
      </w:r>
    </w:p>
    <w:p w14:paraId="759D8DD0" w14:textId="77777777" w:rsidR="00D06A8D" w:rsidRPr="00D06A8D" w:rsidRDefault="00D06A8D" w:rsidP="00D06A8D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Ao instalar o cilindro, certifique-se de que não o carrega nem o dobra no sentido transversal. Preste atenção à direção exibida pelo sulco do bloco articular inferior. Insira o cilindro simultaneamente no eixo superior e no bloco articular, ou insira-o primeiro no bloco articular e conduza o eixo por através do cilindro e do rolamento superior do eixo.</w:t>
      </w:r>
    </w:p>
    <w:p w14:paraId="3856546E" w14:textId="77777777" w:rsidR="00D06A8D" w:rsidRPr="00D06A8D" w:rsidRDefault="00D06A8D" w:rsidP="00D06A8D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A fim de que o botão fischertechnik estabeleça o contato ao ser pressionado, você terá que usar suas duas conexões superiores.</w:t>
      </w:r>
    </w:p>
    <w:p w14:paraId="62F1E124" w14:textId="77777777" w:rsidR="00D06A8D" w:rsidRPr="00D06A8D" w:rsidRDefault="00D06A8D" w:rsidP="00D06A8D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A conexão superior da válvula solenóide é para o suprimento de ar comprimido, e a lateral é a saída, dependendo da posição de comutação da válvula, seja com ar comprimido ou com ar de escape.</w:t>
      </w:r>
    </w:p>
    <w:p w14:paraId="74571278" w14:textId="77777777" w:rsidR="00D06A8D" w:rsidRPr="00D06A8D" w:rsidRDefault="00D06A8D" w:rsidP="00D06A8D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A polaridade das conexões elétricas da válvula solenóide é irrelevante; funciona em ambas as direções da corrente, da mesma forma que o compressor fischertechnik.</w:t>
      </w:r>
    </w:p>
    <w:bookmarkStart w:id="1" w:name="_Hlk46574294"/>
    <w:p w14:paraId="4B6C711E" w14:textId="77777777" w:rsidR="00D06A8D" w:rsidRPr="00D06A8D" w:rsidRDefault="00D06A8D" w:rsidP="00D06A8D">
      <w:pPr>
        <w:rPr>
          <w:rFonts w:ascii="Arial" w:hAnsi="Arial" w:cs="Arial"/>
        </w:rPr>
      </w:pPr>
      <w:r>
        <w:rPr>
          <w:rFonts w:ascii="Arial" w:hAnsi="Arial"/>
        </w:rPr>
        <w:object w:dxaOrig="8581" w:dyaOrig="5266" w14:anchorId="5C66E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263.25pt" o:ole="">
            <v:imagedata r:id="rId10" o:title=""/>
          </v:shape>
          <o:OLEObject Type="Embed" ProgID="Visio.Drawing.15" ShapeID="_x0000_i1025" DrawAspect="Content" ObjectID="_1675709775" r:id="rId11"/>
        </w:object>
      </w:r>
    </w:p>
    <w:bookmarkEnd w:id="1"/>
    <w:p w14:paraId="1A3C588D" w14:textId="77777777" w:rsidR="00D06A8D" w:rsidRPr="00D06A8D" w:rsidRDefault="00D06A8D" w:rsidP="00D06A8D">
      <w:pPr>
        <w:rPr>
          <w:rFonts w:ascii="Arial" w:hAnsi="Arial" w:cs="Arial"/>
        </w:rPr>
      </w:pPr>
      <w:r>
        <w:rPr>
          <w:rFonts w:ascii="Arial" w:hAnsi="Arial"/>
        </w:rPr>
        <w:lastRenderedPageBreak/>
        <w:t>A fonte de alimentação (à esquerda do diagrama do circuito) é exibida aqui porque é necessária para as conexões com o botão e a válvula solenóide.</w:t>
      </w:r>
    </w:p>
    <w:p w14:paraId="181DEC19" w14:textId="77777777" w:rsidR="00D06A8D" w:rsidRPr="00D06A8D" w:rsidRDefault="00D06A8D" w:rsidP="00D06A8D">
      <w:pPr>
        <w:rPr>
          <w:rFonts w:ascii="Arial" w:hAnsi="Arial" w:cs="Arial"/>
        </w:rPr>
      </w:pPr>
      <w:r>
        <w:rPr>
          <w:rFonts w:ascii="Arial" w:hAnsi="Arial"/>
        </w:rPr>
        <w:t>A válvula solenóide (no diagrama do circuito no quadro pontilhado) é uma válvula distribuidora 3/2: 3 vias (ar de alimentação, saída e ar de escape) com duas posições de comutação. Mas é operado por um eletroímã. Assim que o ímã recebe corrente, ele "puxa" a válvula e alterna a passagem entre entrada e saída. Caso não haja corrente, ele bloqueia o ar de alimentação e conecta por sua vez a saída com o ar de escape (este reset automático é simbolizado pela mola no diagrama do circuito). O ar de escape não tem sua própria conexão com a nossa válvula solenóide, mas é claro que a saída de ar de escape está disponível – sem ela, não funcionaria.</w:t>
      </w:r>
    </w:p>
    <w:p w14:paraId="4EF72A83" w14:textId="77777777" w:rsidR="00D06A8D" w:rsidRPr="00D06A8D" w:rsidRDefault="00D06A8D" w:rsidP="00D06A8D">
      <w:pPr>
        <w:rPr>
          <w:rFonts w:ascii="Arial" w:hAnsi="Arial" w:cs="Arial"/>
        </w:rPr>
      </w:pPr>
      <w:r>
        <w:rPr>
          <w:rFonts w:ascii="Arial" w:hAnsi="Arial"/>
        </w:rPr>
        <w:t>O cilindro de ação única só precisa de uma entrada de ar comprimido para funcionar. Ele pode ser estendido com ar comprimido, mas quando ventilado pela mola incorporada retorna automaticamente para a posição inicial (mas apenas com a força da mola). Ele pode ser usado onde é necessário maior força apenas na direção de saída, e só uma entrada de ar comprimido é necessária para o controle.</w:t>
      </w:r>
    </w:p>
    <w:p w14:paraId="7B26BC9A" w14:textId="77777777" w:rsidR="00D06A8D" w:rsidRPr="00D06A8D" w:rsidRDefault="00D06A8D" w:rsidP="00D06A8D">
      <w:pPr>
        <w:rPr>
          <w:rFonts w:ascii="Arial" w:hAnsi="Arial" w:cs="Arial"/>
        </w:rPr>
      </w:pPr>
      <w:r>
        <w:rPr>
          <w:rFonts w:ascii="Arial" w:hAnsi="Arial"/>
        </w:rPr>
        <w:t xml:space="preserve">Isto é vantajoso quando se usa a válvula solenóide, pois se trata de uma válvula de distribuição individual 3/2. Para controlar um cilindro de ação dupla com estas válvulas solenóides, seria preciso duas – uma para cada entrada do cilindro. </w:t>
      </w:r>
    </w:p>
    <w:p w14:paraId="181E580F" w14:textId="77777777" w:rsidR="00D06A8D" w:rsidRPr="00D06A8D" w:rsidRDefault="00D06A8D" w:rsidP="00D06A8D">
      <w:pPr>
        <w:pStyle w:val="berschrift2"/>
        <w:rPr>
          <w:rFonts w:cs="Arial"/>
        </w:rPr>
      </w:pPr>
    </w:p>
    <w:p w14:paraId="5F24F184" w14:textId="77777777" w:rsidR="00D06A8D" w:rsidRPr="00D06A8D" w:rsidRDefault="00D06A8D" w:rsidP="00D06A8D">
      <w:pPr>
        <w:pStyle w:val="berschrift2"/>
        <w:rPr>
          <w:rFonts w:cs="Arial"/>
        </w:rPr>
      </w:pPr>
      <w:r>
        <w:t>Tarefa temática</w:t>
      </w:r>
    </w:p>
    <w:p w14:paraId="27524C64" w14:textId="77777777" w:rsidR="00D06A8D" w:rsidRPr="00D06A8D" w:rsidRDefault="00D06A8D" w:rsidP="00D06A8D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Testar o modelo extensivamente. O que funciona bem? Do que não gosta?</w:t>
      </w:r>
    </w:p>
    <w:p w14:paraId="1B496056" w14:textId="77777777" w:rsidR="00D06A8D" w:rsidRPr="00D06A8D" w:rsidRDefault="00D06A8D" w:rsidP="00D06A8D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Descrever a razão pela qual o cilindro deste modelo deve ser conectado em ambas as extremidades.</w:t>
      </w:r>
    </w:p>
    <w:p w14:paraId="69018C12" w14:textId="77777777" w:rsidR="00D06A8D" w:rsidRPr="00D06A8D" w:rsidRDefault="00D06A8D" w:rsidP="00D06A8D">
      <w:pPr>
        <w:pStyle w:val="berschrift2"/>
        <w:rPr>
          <w:rFonts w:cs="Arial"/>
        </w:rPr>
      </w:pPr>
    </w:p>
    <w:p w14:paraId="7B677DA8" w14:textId="77777777" w:rsidR="00D06A8D" w:rsidRPr="00D06A8D" w:rsidRDefault="00D06A8D" w:rsidP="00D06A8D">
      <w:pPr>
        <w:pStyle w:val="berschrift2"/>
        <w:rPr>
          <w:rFonts w:cs="Arial"/>
        </w:rPr>
      </w:pPr>
      <w:r>
        <w:t>Tarefa experimental</w:t>
      </w:r>
    </w:p>
    <w:p w14:paraId="4C4C7E2E" w14:textId="77777777" w:rsidR="00D06A8D" w:rsidRPr="00D06A8D" w:rsidRDefault="00D06A8D" w:rsidP="00D06A8D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Instalar uma válvula de regulação na mangueira entre a válvula solenóide e o cilindro. O que é possível fazer com isso?</w:t>
      </w:r>
    </w:p>
    <w:p w14:paraId="2D919722" w14:textId="77777777" w:rsidR="00D06A8D" w:rsidRPr="00D06A8D" w:rsidRDefault="00D06A8D" w:rsidP="00D06A8D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Em vez disso, instalar o acelerador na mangueira entre o tanque e a válvula solenóide. E agora, o que é possível fazer com isso?</w:t>
      </w:r>
    </w:p>
    <w:p w14:paraId="455FC6D2" w14:textId="77777777" w:rsidR="00D06A8D" w:rsidRPr="00D06A8D" w:rsidRDefault="00D06A8D" w:rsidP="00D06A8D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Feche a segunda saída do cilindro (do lado da mola) com um plugue em P. O que muda?</w:t>
      </w:r>
    </w:p>
    <w:p w14:paraId="065B4D78" w14:textId="77777777" w:rsidR="00D06A8D" w:rsidRPr="00D06A8D" w:rsidRDefault="00D06A8D" w:rsidP="00D06A8D">
      <w:pPr>
        <w:pStyle w:val="Listenabsatz"/>
        <w:numPr>
          <w:ilvl w:val="0"/>
          <w:numId w:val="3"/>
        </w:numPr>
        <w:spacing w:after="0"/>
        <w:jc w:val="left"/>
        <w:rPr>
          <w:rFonts w:ascii="Arial" w:hAnsi="Arial" w:cs="Arial"/>
        </w:rPr>
      </w:pPr>
      <w:r>
        <w:rPr>
          <w:rFonts w:ascii="Arial" w:hAnsi="Arial"/>
        </w:rPr>
        <w:t>Em vez dos dois acima, use os dois conectores inferiores do botão. O que muda?</w:t>
      </w:r>
    </w:p>
    <w:p w14:paraId="77B7ACA3" w14:textId="77777777" w:rsidR="00005D5B" w:rsidRPr="00D06A8D" w:rsidRDefault="00005D5B">
      <w:pPr>
        <w:rPr>
          <w:rFonts w:ascii="Arial" w:hAnsi="Arial" w:cs="Arial"/>
        </w:rPr>
      </w:pPr>
    </w:p>
    <w:sectPr w:rsidR="00005D5B" w:rsidRPr="00D06A8D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006AE" w14:textId="77777777" w:rsidR="00D06A8D" w:rsidRDefault="00D06A8D" w:rsidP="00D06A8D">
      <w:pPr>
        <w:spacing w:after="0"/>
      </w:pPr>
      <w:r>
        <w:separator/>
      </w:r>
    </w:p>
  </w:endnote>
  <w:endnote w:type="continuationSeparator" w:id="0">
    <w:p w14:paraId="770ED6CF" w14:textId="77777777" w:rsidR="00D06A8D" w:rsidRDefault="00D06A8D" w:rsidP="00D06A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8BF0E" w14:textId="77777777" w:rsidR="00D06A8D" w:rsidRPr="00D06A8D" w:rsidRDefault="00D06A8D" w:rsidP="00D06A8D">
    <w:pPr>
      <w:pStyle w:val="Fuzeile"/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D06A8D">
      <w:rPr>
        <w:rFonts w:ascii="Arial" w:hAnsi="Arial" w:cs="Arial"/>
      </w:rPr>
      <w:fldChar w:fldCharType="begin"/>
    </w:r>
    <w:r w:rsidRPr="00D06A8D">
      <w:rPr>
        <w:rFonts w:ascii="Arial" w:hAnsi="Arial" w:cs="Arial"/>
      </w:rPr>
      <w:instrText>PAGE   \* MERGEFORMAT</w:instrText>
    </w:r>
    <w:r w:rsidRPr="00D06A8D">
      <w:rPr>
        <w:rFonts w:ascii="Arial" w:hAnsi="Arial" w:cs="Arial"/>
      </w:rPr>
      <w:fldChar w:fldCharType="separate"/>
    </w:r>
    <w:r w:rsidR="00A1023C">
      <w:rPr>
        <w:rFonts w:ascii="Arial" w:hAnsi="Arial" w:cs="Arial"/>
        <w:noProof/>
      </w:rPr>
      <w:t>1</w:t>
    </w:r>
    <w:r w:rsidRPr="00D06A8D">
      <w:rPr>
        <w:rFonts w:ascii="Arial" w:hAnsi="Arial" w:cs="Arial"/>
      </w:rPr>
      <w:fldChar w:fldCharType="end"/>
    </w:r>
  </w:p>
  <w:p w14:paraId="00665F38" w14:textId="77777777" w:rsidR="00D06A8D" w:rsidRPr="00D06A8D" w:rsidRDefault="00D06A8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5228B" w14:textId="77777777" w:rsidR="00D06A8D" w:rsidRDefault="00D06A8D" w:rsidP="00D06A8D">
      <w:pPr>
        <w:spacing w:after="0"/>
      </w:pPr>
      <w:r>
        <w:separator/>
      </w:r>
    </w:p>
  </w:footnote>
  <w:footnote w:type="continuationSeparator" w:id="0">
    <w:p w14:paraId="6D904F17" w14:textId="77777777" w:rsidR="00D06A8D" w:rsidRDefault="00D06A8D" w:rsidP="00D06A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927D1" w14:textId="77777777" w:rsidR="00D06A8D" w:rsidRPr="00D06A8D" w:rsidRDefault="00D06A8D" w:rsidP="00D06A8D">
    <w:pPr>
      <w:pStyle w:val="Kopfzeile"/>
      <w:rPr>
        <w:rFonts w:ascii="Arial" w:hAnsi="Arial" w:cs="Arial"/>
      </w:rPr>
    </w:pPr>
    <w:r>
      <w:rPr>
        <w:rFonts w:ascii="Arial" w:hAnsi="Arial"/>
        <w:noProof/>
        <w:lang w:val="de-DE"/>
      </w:rPr>
      <w:drawing>
        <wp:anchor distT="0" distB="0" distL="114300" distR="114300" simplePos="0" relativeHeight="251659264" behindDoc="0" locked="0" layoutInCell="1" allowOverlap="1" wp14:anchorId="40E262A6" wp14:editId="47EF5950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val="de-DE"/>
      </w:rPr>
      <w:drawing>
        <wp:inline distT="0" distB="0" distL="0" distR="0" wp14:anchorId="44423831" wp14:editId="3B727962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A94B9A" w14:textId="77777777" w:rsidR="00D06A8D" w:rsidRPr="00D06A8D" w:rsidRDefault="00D06A8D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30D83"/>
    <w:multiLevelType w:val="hybridMultilevel"/>
    <w:tmpl w:val="D7E06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5F4DAF"/>
    <w:multiLevelType w:val="hybridMultilevel"/>
    <w:tmpl w:val="36163E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A8D"/>
    <w:rsid w:val="00005D5B"/>
    <w:rsid w:val="009E171C"/>
    <w:rsid w:val="00A1023C"/>
    <w:rsid w:val="00D0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E0CF05D"/>
  <w15:chartTrackingRefBased/>
  <w15:docId w15:val="{24185E3D-8578-404A-9925-93101DCF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06A8D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D06A8D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06A8D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D06A8D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D06A8D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D06A8D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D06A8D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D06A8D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D06A8D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D06A8D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D06A8D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A29984-1E5C-4DE7-A738-D7254C4A57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925161-D280-441C-8C62-75B051FD06D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9D5AF6-5A2D-4363-9D41-8FFEBF9A04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2</cp:revision>
  <dcterms:created xsi:type="dcterms:W3CDTF">2021-02-24T21:10:00Z</dcterms:created>
  <dcterms:modified xsi:type="dcterms:W3CDTF">2021-02-24T21:10:00Z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